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16CCDD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C64974">
        <w:rPr>
          <w:rFonts w:ascii="Arial" w:hAnsi="Arial" w:cs="Arial"/>
          <w:sz w:val="24"/>
          <w:szCs w:val="24"/>
        </w:rPr>
        <w:t xml:space="preserve">2 </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C64974">
        <w:rPr>
          <w:rFonts w:ascii="Arial" w:hAnsi="Arial" w:cs="Arial"/>
          <w:sz w:val="24"/>
          <w:szCs w:val="24"/>
        </w:rPr>
        <w:t>xxxxx</w:t>
      </w:r>
    </w:p>
    <w:p w14:paraId="1F48B862" w14:textId="7531AA09"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C95D4D">
        <w:rPr>
          <w:rFonts w:ascii="Arial" w:hAnsi="Arial" w:cs="Arial"/>
          <w:sz w:val="24"/>
          <w:szCs w:val="24"/>
        </w:rPr>
        <w:t>Feb.21</w:t>
      </w:r>
      <w:r w:rsidR="00EC6CF1">
        <w:rPr>
          <w:rFonts w:ascii="Arial" w:hAnsi="Arial" w:cs="Arial"/>
          <w:sz w:val="24"/>
          <w:szCs w:val="24"/>
          <w:vertAlign w:val="superscript"/>
        </w:rPr>
        <w:t>st</w:t>
      </w:r>
      <w:r w:rsidR="00C95D4D">
        <w:rPr>
          <w:rFonts w:ascii="Arial" w:hAnsi="Arial" w:cs="Arial"/>
          <w:sz w:val="24"/>
          <w:szCs w:val="24"/>
        </w:rPr>
        <w:t>-Mar.3</w:t>
      </w:r>
      <w:r w:rsidR="00C95D4D" w:rsidRPr="00C95D4D">
        <w:rPr>
          <w:rFonts w:ascii="Arial" w:hAnsi="Arial" w:cs="Arial"/>
          <w:sz w:val="24"/>
          <w:szCs w:val="24"/>
          <w:vertAlign w:val="superscript"/>
        </w:rPr>
        <w:t>r</w:t>
      </w:r>
      <w:bookmarkStart w:id="4" w:name="_GoBack"/>
      <w:r w:rsidR="00C95D4D" w:rsidRPr="00C95D4D">
        <w:rPr>
          <w:rFonts w:ascii="Arial" w:hAnsi="Arial" w:cs="Arial"/>
          <w:sz w:val="24"/>
          <w:szCs w:val="24"/>
          <w:vertAlign w:val="superscript"/>
        </w:rPr>
        <w:t>d</w:t>
      </w:r>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8BEC4A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 xml:space="preserve">Discussion on </w:t>
      </w:r>
      <w:r w:rsidR="00802BA6">
        <w:rPr>
          <w:rFonts w:ascii="Arial" w:hAnsi="Arial" w:cs="Arial"/>
          <w:sz w:val="24"/>
          <w:lang w:val="en-US"/>
        </w:rPr>
        <w:t>CSI requirements for RedCap</w:t>
      </w:r>
      <w:r w:rsidR="00C95D4D">
        <w:rPr>
          <w:rFonts w:ascii="Arial" w:hAnsi="Arial" w:cs="Arial"/>
          <w:sz w:val="24"/>
          <w:lang w:val="en-US"/>
        </w:rPr>
        <w:t xml:space="preserve"> UE</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061BAC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95D4D">
        <w:rPr>
          <w:rFonts w:ascii="Arial" w:hAnsi="Arial" w:cs="Arial"/>
          <w:sz w:val="24"/>
          <w:lang w:val="pt-BR"/>
        </w:rPr>
        <w:t>10.20.4.</w:t>
      </w:r>
      <w:r w:rsidR="00802BA6">
        <w:rPr>
          <w:rFonts w:ascii="Arial" w:hAnsi="Arial" w:cs="Arial"/>
          <w:sz w:val="24"/>
          <w:lang w:val="pt-BR"/>
        </w:rPr>
        <w:t>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48F7CC39" w:rsidR="00C452C0" w:rsidRPr="006A1B31" w:rsidRDefault="00C95D4D" w:rsidP="00E022EF">
      <w:pPr>
        <w:spacing w:after="0"/>
        <w:rPr>
          <w:rFonts w:eastAsiaTheme="minorEastAsia"/>
          <w:lang w:eastAsia="zh-CN"/>
        </w:rPr>
      </w:pPr>
      <w:r>
        <w:rPr>
          <w:rFonts w:eastAsiaTheme="minorEastAsia"/>
          <w:lang w:eastAsia="zh-CN"/>
        </w:rPr>
        <w:t xml:space="preserve">As per [1], RAN 4 has agreed to </w:t>
      </w:r>
      <w:r w:rsidR="00A00FE9">
        <w:rPr>
          <w:rFonts w:eastAsiaTheme="minorEastAsia"/>
          <w:lang w:eastAsia="zh-CN"/>
        </w:rPr>
        <w:t>introduce the PDCCH and PBCH requirements for RedCap UE</w:t>
      </w:r>
      <w:r w:rsidR="00DA0C6D">
        <w:rPr>
          <w:rFonts w:eastAsiaTheme="minorEastAsia"/>
          <w:lang w:eastAsia="zh-CN"/>
        </w:rPr>
        <w:t>. In this paper, we provide our views on remain open issues.</w:t>
      </w:r>
    </w:p>
    <w:p w14:paraId="404DE76D" w14:textId="68F91754" w:rsidR="00E77D37" w:rsidRDefault="00802BA6" w:rsidP="003852EF">
      <w:pPr>
        <w:pStyle w:val="1"/>
        <w:spacing w:after="0"/>
        <w:rPr>
          <w:rFonts w:ascii="Arial" w:eastAsia="Calibri" w:hAnsi="Arial" w:cs="Arial"/>
          <w:lang w:eastAsia="zh-CN"/>
        </w:rPr>
      </w:pPr>
      <w:r>
        <w:rPr>
          <w:rFonts w:ascii="Arial" w:eastAsia="Calibri" w:hAnsi="Arial" w:cs="Arial"/>
          <w:lang w:eastAsia="zh-CN"/>
        </w:rPr>
        <w:t>CQI requirements</w:t>
      </w:r>
    </w:p>
    <w:p w14:paraId="17500929" w14:textId="5F835B1B" w:rsidR="0002078C" w:rsidRDefault="0002078C" w:rsidP="00DA0C6D">
      <w:pPr>
        <w:rPr>
          <w:rFonts w:eastAsiaTheme="minorEastAsia"/>
          <w:lang w:eastAsia="zh-CN"/>
        </w:rPr>
      </w:pPr>
    </w:p>
    <w:p w14:paraId="023020CF" w14:textId="3617B781" w:rsidR="0002078C" w:rsidRDefault="0002078C" w:rsidP="00DA0C6D">
      <w:pPr>
        <w:rPr>
          <w:rFonts w:eastAsiaTheme="minorEastAsia"/>
          <w:lang w:eastAsia="zh-CN"/>
        </w:rPr>
      </w:pPr>
      <w:r>
        <w:rPr>
          <w:rFonts w:eastAsiaTheme="minorEastAsia" w:hint="eastAsia"/>
          <w:lang w:eastAsia="zh-CN"/>
        </w:rPr>
        <w:t>I</w:t>
      </w:r>
      <w:r>
        <w:rPr>
          <w:rFonts w:eastAsiaTheme="minorEastAsia"/>
          <w:lang w:eastAsia="zh-CN"/>
        </w:rPr>
        <w:t>n last meeting, RAN 4 has agreed to introduce wideband CQI reporting requirements for RedCap UE. But it is FFS to discuss whether to define case with CQI table 2 for UE supporting 256QAM:</w:t>
      </w:r>
    </w:p>
    <w:tbl>
      <w:tblPr>
        <w:tblStyle w:val="af4"/>
        <w:tblW w:w="0" w:type="auto"/>
        <w:tblLook w:val="04A0" w:firstRow="1" w:lastRow="0" w:firstColumn="1" w:lastColumn="0" w:noHBand="0" w:noVBand="1"/>
      </w:tblPr>
      <w:tblGrid>
        <w:gridCol w:w="10457"/>
      </w:tblGrid>
      <w:tr w:rsidR="0002078C" w14:paraId="1061AFA5" w14:textId="77777777" w:rsidTr="0002078C">
        <w:tc>
          <w:tcPr>
            <w:tcW w:w="10457" w:type="dxa"/>
          </w:tcPr>
          <w:p w14:paraId="0E9BF8ED" w14:textId="77777777" w:rsidR="0002078C" w:rsidRPr="00656A8D" w:rsidRDefault="0002078C" w:rsidP="0002078C">
            <w:pPr>
              <w:pStyle w:val="afa"/>
              <w:numPr>
                <w:ilvl w:val="0"/>
                <w:numId w:val="41"/>
              </w:numPr>
              <w:autoSpaceDE/>
              <w:autoSpaceDN/>
              <w:adjustRightInd/>
              <w:contextualSpacing w:val="0"/>
              <w:jc w:val="both"/>
            </w:pPr>
            <w:r w:rsidRPr="00656A8D">
              <w:t>Define CQI reporting tests for both static condition and fading condition for RedCap 1Rx/2Rx UE.</w:t>
            </w:r>
          </w:p>
          <w:p w14:paraId="10A9677B" w14:textId="77777777" w:rsidR="0002078C" w:rsidRPr="00656A8D" w:rsidRDefault="0002078C" w:rsidP="0002078C">
            <w:pPr>
              <w:pStyle w:val="afa"/>
              <w:numPr>
                <w:ilvl w:val="1"/>
                <w:numId w:val="41"/>
              </w:numPr>
              <w:autoSpaceDE/>
              <w:autoSpaceDN/>
              <w:adjustRightInd/>
              <w:contextualSpacing w:val="0"/>
              <w:jc w:val="both"/>
            </w:pPr>
            <w:r w:rsidRPr="00656A8D">
              <w:t xml:space="preserve">For the fading condition define wideband CQI reporting test only. </w:t>
            </w:r>
          </w:p>
          <w:p w14:paraId="4DF382D2" w14:textId="77777777" w:rsidR="0002078C" w:rsidRPr="00656A8D" w:rsidRDefault="0002078C" w:rsidP="0002078C">
            <w:pPr>
              <w:pStyle w:val="afa"/>
              <w:numPr>
                <w:ilvl w:val="0"/>
                <w:numId w:val="41"/>
              </w:numPr>
              <w:autoSpaceDE/>
              <w:autoSpaceDN/>
              <w:adjustRightInd/>
              <w:contextualSpacing w:val="0"/>
              <w:jc w:val="both"/>
            </w:pPr>
            <w:r w:rsidRPr="00656A8D">
              <w:t>Use CQI table 1 for RedCap UE CQI reporting requirements.</w:t>
            </w:r>
          </w:p>
          <w:p w14:paraId="11EE816B" w14:textId="77777777" w:rsidR="0002078C" w:rsidRPr="0004429C" w:rsidRDefault="0002078C" w:rsidP="0002078C">
            <w:pPr>
              <w:pStyle w:val="afa"/>
              <w:numPr>
                <w:ilvl w:val="1"/>
                <w:numId w:val="41"/>
              </w:numPr>
              <w:autoSpaceDE/>
              <w:autoSpaceDN/>
              <w:adjustRightInd/>
              <w:contextualSpacing w:val="0"/>
              <w:jc w:val="both"/>
            </w:pPr>
            <w:r w:rsidRPr="0004429C">
              <w:t xml:space="preserve">For 2Rx tests for FR1 FDD, </w:t>
            </w:r>
          </w:p>
          <w:p w14:paraId="05E79228" w14:textId="77777777" w:rsidR="0002078C" w:rsidRPr="0004429C" w:rsidRDefault="0002078C" w:rsidP="0002078C">
            <w:pPr>
              <w:pStyle w:val="afa"/>
              <w:numPr>
                <w:ilvl w:val="2"/>
                <w:numId w:val="41"/>
              </w:numPr>
              <w:autoSpaceDE/>
              <w:autoSpaceDN/>
              <w:adjustRightInd/>
              <w:contextualSpacing w:val="0"/>
              <w:jc w:val="both"/>
            </w:pPr>
            <w:r w:rsidRPr="0004429C">
              <w:t xml:space="preserve">Define new 2Rx tests for FR1 FDD with CQI table 1 </w:t>
            </w:r>
          </w:p>
          <w:p w14:paraId="23690E98" w14:textId="15E16017" w:rsidR="0002078C" w:rsidRPr="0002078C" w:rsidRDefault="0002078C" w:rsidP="00DA0C6D">
            <w:pPr>
              <w:pStyle w:val="afa"/>
              <w:numPr>
                <w:ilvl w:val="2"/>
                <w:numId w:val="41"/>
              </w:numPr>
              <w:autoSpaceDE/>
              <w:autoSpaceDN/>
              <w:adjustRightInd/>
              <w:contextualSpacing w:val="0"/>
              <w:jc w:val="both"/>
            </w:pPr>
            <w:r w:rsidRPr="0004429C">
              <w:t xml:space="preserve">FFS whether to define test </w:t>
            </w:r>
            <w:r>
              <w:t>with</w:t>
            </w:r>
            <w:r w:rsidRPr="0004429C">
              <w:t xml:space="preserve"> CQI table 2 for Redcap UE supporting 256 QAM. If agreed, existing test requirements can be reused</w:t>
            </w:r>
          </w:p>
        </w:tc>
      </w:tr>
    </w:tbl>
    <w:p w14:paraId="4D4B0FFF" w14:textId="681E25D4" w:rsidR="0002078C" w:rsidRDefault="0002078C" w:rsidP="00DA0C6D">
      <w:pPr>
        <w:rPr>
          <w:rFonts w:eastAsiaTheme="minorEastAsia"/>
          <w:lang w:eastAsia="zh-CN"/>
        </w:rPr>
      </w:pPr>
    </w:p>
    <w:p w14:paraId="7E1507D4" w14:textId="215DB61D" w:rsidR="0002078C" w:rsidRDefault="00BF3E83" w:rsidP="00DA0C6D">
      <w:pPr>
        <w:rPr>
          <w:rFonts w:eastAsiaTheme="minorEastAsia"/>
          <w:lang w:eastAsia="zh-CN"/>
        </w:rPr>
      </w:pPr>
      <w:r>
        <w:rPr>
          <w:rFonts w:eastAsiaTheme="minorEastAsia"/>
          <w:lang w:eastAsia="zh-CN"/>
        </w:rPr>
        <w:t>W</w:t>
      </w:r>
      <w:r w:rsidR="0002078C">
        <w:rPr>
          <w:rFonts w:eastAsiaTheme="minorEastAsia"/>
          <w:lang w:eastAsia="zh-CN"/>
        </w:rPr>
        <w:t xml:space="preserve">e don’t see the need to define the CQI requirements with CQI table 2. </w:t>
      </w:r>
      <w:r>
        <w:rPr>
          <w:rFonts w:eastAsiaTheme="minorEastAsia"/>
          <w:lang w:eastAsia="zh-CN"/>
        </w:rPr>
        <w:t xml:space="preserve">Based on our understanding, in Rel-15 CQI reporting test, SNR is selected based on the principle that median CQI is reported up to 64QAM even CQI table 2 is used. RedCap should also follow this principle and there is no </w:t>
      </w:r>
      <w:r w:rsidR="000322F4">
        <w:rPr>
          <w:rFonts w:eastAsiaTheme="minorEastAsia"/>
          <w:lang w:eastAsia="zh-CN"/>
        </w:rPr>
        <w:t>difference</w:t>
      </w:r>
      <w:r>
        <w:rPr>
          <w:rFonts w:eastAsiaTheme="minorEastAsia"/>
          <w:lang w:eastAsia="zh-CN"/>
        </w:rPr>
        <w:t xml:space="preserve"> </w:t>
      </w:r>
      <w:r w:rsidR="000322F4">
        <w:rPr>
          <w:rFonts w:eastAsiaTheme="minorEastAsia"/>
          <w:lang w:eastAsia="zh-CN"/>
        </w:rPr>
        <w:t>for CQI table 1 and CQI table 2 if CQI reporting is up to 64QAM.</w:t>
      </w:r>
    </w:p>
    <w:p w14:paraId="167548EE" w14:textId="55C3C335" w:rsidR="00F21298" w:rsidRPr="00F21298" w:rsidRDefault="000322F4" w:rsidP="00F21298">
      <w:pPr>
        <w:spacing w:beforeLines="50" w:before="120"/>
        <w:rPr>
          <w:rFonts w:eastAsiaTheme="minorEastAsia"/>
          <w:b/>
          <w:lang w:eastAsia="zh-CN"/>
        </w:rPr>
      </w:pPr>
      <w:r>
        <w:rPr>
          <w:rFonts w:eastAsiaTheme="minorEastAsia" w:hint="eastAsia"/>
          <w:b/>
          <w:lang w:eastAsia="zh-CN"/>
        </w:rPr>
        <w:t>P</w:t>
      </w:r>
      <w:r>
        <w:rPr>
          <w:rFonts w:eastAsiaTheme="minorEastAsia"/>
          <w:b/>
          <w:lang w:eastAsia="zh-CN"/>
        </w:rPr>
        <w:t>roposal 1: Not define CQI requirements for RedCap with CQI table 2.</w:t>
      </w:r>
    </w:p>
    <w:p w14:paraId="77207040" w14:textId="62CFA3EE" w:rsidR="00F615A1" w:rsidRDefault="00802BA6" w:rsidP="003A65BE">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PMI</w:t>
      </w:r>
      <w:r w:rsidR="000322F4">
        <w:rPr>
          <w:rFonts w:ascii="Arial" w:eastAsia="Calibri" w:hAnsi="Arial" w:cs="Arial"/>
          <w:lang w:eastAsia="zh-CN"/>
        </w:rPr>
        <w:t xml:space="preserve"> requirements</w:t>
      </w:r>
    </w:p>
    <w:p w14:paraId="52D0C052" w14:textId="77777777" w:rsidR="000322F4" w:rsidRDefault="000322F4" w:rsidP="000322F4">
      <w:pPr>
        <w:rPr>
          <w:rFonts w:eastAsiaTheme="minorEastAsia"/>
          <w:lang w:eastAsia="zh-CN"/>
        </w:rPr>
      </w:pPr>
    </w:p>
    <w:p w14:paraId="2D6EE1FB" w14:textId="5C53690A" w:rsidR="000322F4" w:rsidRDefault="000322F4" w:rsidP="000322F4">
      <w:pPr>
        <w:rPr>
          <w:rFonts w:eastAsiaTheme="minorEastAsia"/>
          <w:lang w:eastAsia="zh-CN"/>
        </w:rPr>
      </w:pPr>
      <w:r>
        <w:rPr>
          <w:rFonts w:eastAsiaTheme="minorEastAsia" w:hint="eastAsia"/>
          <w:lang w:eastAsia="zh-CN"/>
        </w:rPr>
        <w:t>T</w:t>
      </w:r>
      <w:r>
        <w:rPr>
          <w:rFonts w:eastAsiaTheme="minorEastAsia"/>
          <w:lang w:eastAsia="zh-CN"/>
        </w:rPr>
        <w:t>he options for PMI requirements are listed as follows:</w:t>
      </w:r>
    </w:p>
    <w:tbl>
      <w:tblPr>
        <w:tblStyle w:val="af4"/>
        <w:tblW w:w="0" w:type="auto"/>
        <w:tblLook w:val="04A0" w:firstRow="1" w:lastRow="0" w:firstColumn="1" w:lastColumn="0" w:noHBand="0" w:noVBand="1"/>
      </w:tblPr>
      <w:tblGrid>
        <w:gridCol w:w="10457"/>
      </w:tblGrid>
      <w:tr w:rsidR="000322F4" w14:paraId="51E7EE2A" w14:textId="77777777" w:rsidTr="000322F4">
        <w:tc>
          <w:tcPr>
            <w:tcW w:w="10457" w:type="dxa"/>
          </w:tcPr>
          <w:p w14:paraId="3F18A403" w14:textId="77777777" w:rsidR="000322F4" w:rsidRPr="0004429C" w:rsidRDefault="000322F4" w:rsidP="000322F4">
            <w:pPr>
              <w:pStyle w:val="afa"/>
              <w:numPr>
                <w:ilvl w:val="0"/>
                <w:numId w:val="42"/>
              </w:numPr>
              <w:autoSpaceDE/>
              <w:autoSpaceDN/>
              <w:adjustRightInd/>
              <w:contextualSpacing w:val="0"/>
              <w:jc w:val="both"/>
            </w:pPr>
            <w:r w:rsidRPr="0004429C">
              <w:t>RAN4 discuss further whether to define PMI reporting tests for RedCap UE.</w:t>
            </w:r>
          </w:p>
          <w:p w14:paraId="2F58CB20" w14:textId="77777777" w:rsidR="000322F4" w:rsidRPr="0004429C" w:rsidRDefault="000322F4" w:rsidP="000322F4">
            <w:pPr>
              <w:pStyle w:val="afa"/>
              <w:numPr>
                <w:ilvl w:val="1"/>
                <w:numId w:val="42"/>
              </w:numPr>
              <w:autoSpaceDE/>
              <w:autoSpaceDN/>
              <w:adjustRightInd/>
              <w:contextualSpacing w:val="0"/>
              <w:jc w:val="both"/>
            </w:pPr>
            <w:r w:rsidRPr="0004429C">
              <w:t>Option 1: Define for both 1Rx UE and 2Rx UE</w:t>
            </w:r>
          </w:p>
          <w:p w14:paraId="7C7561C3" w14:textId="77777777" w:rsidR="000322F4" w:rsidRPr="0004429C" w:rsidRDefault="000322F4" w:rsidP="000322F4">
            <w:pPr>
              <w:pStyle w:val="afa"/>
              <w:numPr>
                <w:ilvl w:val="1"/>
                <w:numId w:val="42"/>
              </w:numPr>
              <w:autoSpaceDE/>
              <w:autoSpaceDN/>
              <w:adjustRightInd/>
              <w:contextualSpacing w:val="0"/>
              <w:jc w:val="both"/>
            </w:pPr>
            <w:r w:rsidRPr="0004429C">
              <w:t>Option 2: Not define for both 1Rx UE and 2Rx UE</w:t>
            </w:r>
          </w:p>
          <w:p w14:paraId="3E347F8F" w14:textId="77777777" w:rsidR="000322F4" w:rsidRPr="0004429C" w:rsidRDefault="000322F4" w:rsidP="000322F4">
            <w:pPr>
              <w:pStyle w:val="afa"/>
              <w:numPr>
                <w:ilvl w:val="1"/>
                <w:numId w:val="42"/>
              </w:numPr>
              <w:autoSpaceDE/>
              <w:autoSpaceDN/>
              <w:adjustRightInd/>
              <w:contextualSpacing w:val="0"/>
              <w:jc w:val="both"/>
            </w:pPr>
            <w:r w:rsidRPr="0004429C">
              <w:t>Option 3 Define only for 2Rx UE</w:t>
            </w:r>
          </w:p>
          <w:p w14:paraId="52459167" w14:textId="2D5D3997" w:rsidR="000322F4" w:rsidRPr="000322F4" w:rsidRDefault="000322F4" w:rsidP="000322F4">
            <w:pPr>
              <w:pStyle w:val="afa"/>
              <w:numPr>
                <w:ilvl w:val="0"/>
                <w:numId w:val="42"/>
              </w:numPr>
              <w:autoSpaceDE/>
              <w:autoSpaceDN/>
              <w:adjustRightInd/>
              <w:contextualSpacing w:val="0"/>
              <w:jc w:val="both"/>
            </w:pPr>
            <w:r w:rsidRPr="0004429C">
              <w:t>If PMI reporting test is defined, discuss further applied test cases</w:t>
            </w:r>
          </w:p>
        </w:tc>
      </w:tr>
    </w:tbl>
    <w:p w14:paraId="06F185D2" w14:textId="77777777" w:rsidR="000322F4" w:rsidRPr="000322F4" w:rsidRDefault="000322F4" w:rsidP="000322F4">
      <w:pPr>
        <w:rPr>
          <w:rFonts w:eastAsiaTheme="minorEastAsia"/>
          <w:lang w:eastAsia="zh-CN"/>
        </w:rPr>
      </w:pPr>
    </w:p>
    <w:p w14:paraId="05C68A3E" w14:textId="19613BA9" w:rsidR="000322F4" w:rsidRDefault="000322F4" w:rsidP="000E1DB3">
      <w:pPr>
        <w:spacing w:beforeLines="50" w:before="120"/>
        <w:jc w:val="both"/>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ased on our understanding, </w:t>
      </w:r>
      <w:r w:rsidR="00345D34">
        <w:rPr>
          <w:rFonts w:eastAsiaTheme="minorEastAsia"/>
          <w:sz w:val="18"/>
          <w:lang w:eastAsia="zh-CN"/>
        </w:rPr>
        <w:t>it is enough to define the requirements with CQI reporting for RedCap UE since BS not always rely on UE’s reporting to determine the precoding matrix. Considering RedCap UE is low cost UE, we should reduce the test cost as much as possible.</w:t>
      </w:r>
    </w:p>
    <w:p w14:paraId="423A87C7" w14:textId="7CCE7E9A" w:rsidR="00345D34" w:rsidRPr="00345D34" w:rsidRDefault="00345D34" w:rsidP="00345D34">
      <w:pPr>
        <w:spacing w:beforeLines="50" w:before="120"/>
        <w:rPr>
          <w:rFonts w:eastAsiaTheme="minorEastAsia"/>
          <w:b/>
          <w:lang w:eastAsia="zh-CN"/>
        </w:rPr>
      </w:pPr>
      <w:r w:rsidRPr="00345D34">
        <w:rPr>
          <w:rFonts w:eastAsiaTheme="minorEastAsia"/>
          <w:b/>
          <w:lang w:eastAsia="zh-CN"/>
        </w:rPr>
        <w:t>Proposal 2: Not define PMI requirements for RedCap UE</w:t>
      </w:r>
    </w:p>
    <w:p w14:paraId="6A8BB74D" w14:textId="677E2C6C" w:rsidR="000322F4" w:rsidRDefault="000322F4" w:rsidP="000322F4">
      <w:pPr>
        <w:pStyle w:val="1"/>
        <w:spacing w:after="0"/>
        <w:rPr>
          <w:rFonts w:ascii="Arial" w:eastAsia="Calibri" w:hAnsi="Arial" w:cs="Arial"/>
          <w:lang w:eastAsia="zh-CN"/>
        </w:rPr>
      </w:pPr>
      <w:r w:rsidRPr="000322F4">
        <w:rPr>
          <w:rFonts w:ascii="Arial" w:eastAsia="Calibri" w:hAnsi="Arial" w:cs="Arial"/>
          <w:lang w:eastAsia="zh-CN"/>
        </w:rPr>
        <w:t>RI requirements</w:t>
      </w:r>
    </w:p>
    <w:p w14:paraId="2B0D8DCB" w14:textId="750A9640" w:rsidR="000322F4" w:rsidRDefault="000322F4" w:rsidP="000322F4">
      <w:pPr>
        <w:rPr>
          <w:rFonts w:eastAsiaTheme="minorEastAsia"/>
          <w:lang w:eastAsia="zh-CN"/>
        </w:rPr>
      </w:pPr>
    </w:p>
    <w:tbl>
      <w:tblPr>
        <w:tblStyle w:val="af4"/>
        <w:tblW w:w="0" w:type="auto"/>
        <w:tblLook w:val="04A0" w:firstRow="1" w:lastRow="0" w:firstColumn="1" w:lastColumn="0" w:noHBand="0" w:noVBand="1"/>
      </w:tblPr>
      <w:tblGrid>
        <w:gridCol w:w="10457"/>
      </w:tblGrid>
      <w:tr w:rsidR="000322F4" w14:paraId="7A3D25EC" w14:textId="77777777" w:rsidTr="000322F4">
        <w:tc>
          <w:tcPr>
            <w:tcW w:w="10457" w:type="dxa"/>
          </w:tcPr>
          <w:p w14:paraId="16E4BE9B" w14:textId="77777777" w:rsidR="000322F4" w:rsidRPr="00656A8D" w:rsidRDefault="000322F4" w:rsidP="000322F4">
            <w:pPr>
              <w:pStyle w:val="afa"/>
              <w:numPr>
                <w:ilvl w:val="0"/>
                <w:numId w:val="42"/>
              </w:numPr>
              <w:autoSpaceDE/>
              <w:autoSpaceDN/>
              <w:adjustRightInd/>
              <w:contextualSpacing w:val="0"/>
              <w:jc w:val="both"/>
            </w:pPr>
            <w:r w:rsidRPr="00656A8D">
              <w:t>RAN4 discuss further whether to define RI reporting tests for RedCap 2Rx UE.</w:t>
            </w:r>
          </w:p>
          <w:p w14:paraId="6070FB20" w14:textId="77777777" w:rsidR="000322F4" w:rsidRPr="00656A8D" w:rsidRDefault="000322F4" w:rsidP="000322F4">
            <w:pPr>
              <w:pStyle w:val="afa"/>
              <w:numPr>
                <w:ilvl w:val="1"/>
                <w:numId w:val="42"/>
              </w:numPr>
              <w:autoSpaceDE/>
              <w:autoSpaceDN/>
              <w:adjustRightInd/>
              <w:contextualSpacing w:val="0"/>
              <w:jc w:val="both"/>
            </w:pPr>
            <w:r w:rsidRPr="00656A8D">
              <w:lastRenderedPageBreak/>
              <w:t xml:space="preserve">Option 1: Define RI tests. It requires to rerun the simulation with CQI table 1 for FR1 FDD and TDD. </w:t>
            </w:r>
          </w:p>
          <w:p w14:paraId="695EEB04" w14:textId="77777777" w:rsidR="000322F4" w:rsidRPr="00656A8D" w:rsidRDefault="000322F4" w:rsidP="000322F4">
            <w:pPr>
              <w:pStyle w:val="afa"/>
              <w:numPr>
                <w:ilvl w:val="1"/>
                <w:numId w:val="42"/>
              </w:numPr>
              <w:autoSpaceDE/>
              <w:autoSpaceDN/>
              <w:adjustRightInd/>
              <w:contextualSpacing w:val="0"/>
              <w:jc w:val="both"/>
            </w:pPr>
            <w:r w:rsidRPr="00656A8D">
              <w:t>Option 2: Not define RI tests.</w:t>
            </w:r>
          </w:p>
          <w:p w14:paraId="5362394D" w14:textId="77777777" w:rsidR="000322F4" w:rsidRPr="000322F4" w:rsidRDefault="000322F4" w:rsidP="000322F4">
            <w:pPr>
              <w:rPr>
                <w:rFonts w:eastAsiaTheme="minorEastAsia"/>
                <w:lang w:val="en-US" w:eastAsia="zh-CN"/>
              </w:rPr>
            </w:pPr>
          </w:p>
        </w:tc>
      </w:tr>
    </w:tbl>
    <w:p w14:paraId="796AE3F9" w14:textId="7D008268" w:rsidR="000322F4" w:rsidRDefault="00345D34" w:rsidP="00345D34">
      <w:pPr>
        <w:spacing w:beforeLines="50" w:before="120"/>
        <w:rPr>
          <w:rFonts w:eastAsiaTheme="minorEastAsia"/>
          <w:lang w:eastAsia="zh-CN"/>
        </w:rPr>
      </w:pPr>
      <w:r w:rsidRPr="003D77D9">
        <w:rPr>
          <w:rFonts w:eastAsiaTheme="minorEastAsia"/>
          <w:lang w:eastAsia="zh-CN"/>
        </w:rPr>
        <w:lastRenderedPageBreak/>
        <w:t>We don’t think it is necessary to define the RI test since RI requirements are only applicable for 2RX UE and we should reduce the test cost as much as possible.</w:t>
      </w:r>
    </w:p>
    <w:p w14:paraId="1797DCE0" w14:textId="3B84EC52" w:rsidR="003D77D9" w:rsidRPr="003D77D9" w:rsidRDefault="003D77D9" w:rsidP="00345D34">
      <w:pPr>
        <w:spacing w:beforeLines="50" w:before="120"/>
        <w:rPr>
          <w:rFonts w:eastAsiaTheme="minorEastAsia"/>
          <w:b/>
          <w:lang w:eastAsia="zh-CN"/>
        </w:rPr>
      </w:pPr>
      <w:r w:rsidRPr="003D77D9">
        <w:rPr>
          <w:rFonts w:eastAsiaTheme="minorEastAsia"/>
          <w:b/>
          <w:lang w:eastAsia="zh-CN"/>
        </w:rPr>
        <w:t>Proposal 3</w:t>
      </w:r>
      <w:r w:rsidRPr="003D77D9">
        <w:rPr>
          <w:rFonts w:eastAsiaTheme="minorEastAsia" w:hint="eastAsia"/>
          <w:b/>
          <w:lang w:eastAsia="zh-CN"/>
        </w:rPr>
        <w:t>:</w:t>
      </w:r>
      <w:r w:rsidRPr="003D77D9">
        <w:rPr>
          <w:rFonts w:eastAsiaTheme="minorEastAsia"/>
          <w:b/>
          <w:lang w:eastAsia="zh-CN"/>
        </w:rPr>
        <w:t xml:space="preserve"> Not define RI test for RedCap UE</w:t>
      </w:r>
    </w:p>
    <w:bookmarkEnd w:id="6"/>
    <w:bookmarkEnd w:id="7"/>
    <w:bookmarkEnd w:id="8"/>
    <w:bookmarkEnd w:id="9"/>
    <w:bookmarkEnd w:id="10"/>
    <w:p w14:paraId="23E47B08" w14:textId="56B019B2" w:rsidR="000E1DB3" w:rsidRPr="00345D34" w:rsidRDefault="00CC4FE0" w:rsidP="00345D34">
      <w:pPr>
        <w:pStyle w:val="1"/>
        <w:rPr>
          <w:rFonts w:ascii="Arial" w:eastAsia="Calibri" w:hAnsi="Arial" w:cs="Arial"/>
          <w:lang w:eastAsia="zh-CN"/>
        </w:rPr>
      </w:pPr>
      <w:r>
        <w:rPr>
          <w:rFonts w:ascii="Arial" w:eastAsia="Calibri" w:hAnsi="Arial" w:cs="Arial"/>
          <w:lang w:eastAsia="zh-CN"/>
        </w:rPr>
        <w:t>Conclusion</w:t>
      </w:r>
    </w:p>
    <w:p w14:paraId="117FC3EC" w14:textId="77777777" w:rsidR="00345D34" w:rsidRPr="00F21298" w:rsidRDefault="00345D34" w:rsidP="00345D34">
      <w:pPr>
        <w:spacing w:beforeLines="50" w:before="120"/>
        <w:rPr>
          <w:rFonts w:eastAsiaTheme="minorEastAsia"/>
          <w:b/>
          <w:lang w:eastAsia="zh-CN"/>
        </w:rPr>
      </w:pPr>
      <w:r>
        <w:rPr>
          <w:rFonts w:eastAsiaTheme="minorEastAsia" w:hint="eastAsia"/>
          <w:b/>
          <w:lang w:eastAsia="zh-CN"/>
        </w:rPr>
        <w:t>P</w:t>
      </w:r>
      <w:r>
        <w:rPr>
          <w:rFonts w:eastAsiaTheme="minorEastAsia"/>
          <w:b/>
          <w:lang w:eastAsia="zh-CN"/>
        </w:rPr>
        <w:t>roposal 1: Not define CQI requirements for RedCap with CQI table 2.</w:t>
      </w:r>
    </w:p>
    <w:p w14:paraId="2A585CCD" w14:textId="77777777" w:rsidR="00345D34" w:rsidRPr="00345D34" w:rsidRDefault="00345D34" w:rsidP="00345D34">
      <w:pPr>
        <w:spacing w:beforeLines="50" w:before="120"/>
        <w:rPr>
          <w:rFonts w:eastAsiaTheme="minorEastAsia"/>
          <w:b/>
          <w:lang w:eastAsia="zh-CN"/>
        </w:rPr>
      </w:pPr>
      <w:r w:rsidRPr="00345D34">
        <w:rPr>
          <w:rFonts w:eastAsiaTheme="minorEastAsia"/>
          <w:b/>
          <w:lang w:eastAsia="zh-CN"/>
        </w:rPr>
        <w:t>Proposal 2: Not define PMI requirements for RedCap UE</w:t>
      </w:r>
    </w:p>
    <w:p w14:paraId="1C6E9F10" w14:textId="77777777" w:rsidR="003D77D9" w:rsidRPr="003D77D9" w:rsidRDefault="003D77D9" w:rsidP="003D77D9">
      <w:pPr>
        <w:spacing w:beforeLines="50" w:before="120"/>
        <w:rPr>
          <w:rFonts w:eastAsiaTheme="minorEastAsia"/>
          <w:b/>
          <w:lang w:eastAsia="zh-CN"/>
        </w:rPr>
      </w:pPr>
      <w:r w:rsidRPr="003D77D9">
        <w:rPr>
          <w:rFonts w:eastAsiaTheme="minorEastAsia"/>
          <w:b/>
          <w:lang w:eastAsia="zh-CN"/>
        </w:rPr>
        <w:t>Proposal 3</w:t>
      </w:r>
      <w:r w:rsidRPr="003D77D9">
        <w:rPr>
          <w:rFonts w:eastAsiaTheme="minorEastAsia" w:hint="eastAsia"/>
          <w:b/>
          <w:lang w:eastAsia="zh-CN"/>
        </w:rPr>
        <w:t>:</w:t>
      </w:r>
      <w:r w:rsidRPr="003D77D9">
        <w:rPr>
          <w:rFonts w:eastAsiaTheme="minorEastAsia"/>
          <w:b/>
          <w:lang w:eastAsia="zh-CN"/>
        </w:rPr>
        <w:t xml:space="preserve"> Not define RI test for RedCap UE</w:t>
      </w:r>
    </w:p>
    <w:p w14:paraId="4E1626AD" w14:textId="18927665" w:rsidR="00B8359B" w:rsidRPr="00B8359B" w:rsidRDefault="00B8359B" w:rsidP="00F615A1">
      <w:pPr>
        <w:pStyle w:val="1"/>
        <w:pBdr>
          <w:top w:val="single" w:sz="12" w:space="2" w:color="auto"/>
        </w:pBdr>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67F35CD7" w14:textId="70A58FCF" w:rsidR="00FB55C6" w:rsidRPr="00B14335" w:rsidRDefault="00C64974" w:rsidP="00B14335">
      <w:pPr>
        <w:snapToGrid w:val="0"/>
        <w:rPr>
          <w:rFonts w:eastAsiaTheme="minorEastAsia"/>
          <w:lang w:val="en-US" w:eastAsia="zh-CN"/>
        </w:rPr>
      </w:pPr>
      <w:r w:rsidRPr="00C64974">
        <w:rPr>
          <w:rFonts w:eastAsiaTheme="minorEastAsia"/>
          <w:lang w:val="en-US" w:eastAsia="zh-CN"/>
        </w:rPr>
        <w:t xml:space="preserve">[1] </w:t>
      </w:r>
      <w:r>
        <w:rPr>
          <w:rFonts w:eastAsiaTheme="minorEastAsia"/>
          <w:lang w:val="en-US" w:eastAsia="zh-CN"/>
        </w:rPr>
        <w:t xml:space="preserve">  </w:t>
      </w:r>
      <w:r w:rsidR="00C95D4D" w:rsidRPr="00656A8D">
        <w:rPr>
          <w:szCs w:val="24"/>
        </w:rPr>
        <w:t>R4-2203032</w:t>
      </w:r>
      <w:r w:rsidR="0037796B">
        <w:rPr>
          <w:szCs w:val="24"/>
        </w:rPr>
        <w:t xml:space="preserve"> </w:t>
      </w:r>
      <w:r w:rsidRPr="00C64974">
        <w:rPr>
          <w:rFonts w:eastAsiaTheme="minorEastAsia"/>
          <w:lang w:val="en-US" w:eastAsia="zh-CN"/>
        </w:rPr>
        <w:t xml:space="preserve">WF on </w:t>
      </w:r>
      <w:r w:rsidR="00C95D4D">
        <w:rPr>
          <w:rFonts w:eastAsiaTheme="minorEastAsia"/>
          <w:lang w:val="en-US" w:eastAsia="zh-CN"/>
        </w:rPr>
        <w:t>Redcap demodulation and CQI reporting requirements</w:t>
      </w:r>
    </w:p>
    <w:sectPr w:rsidR="00FB55C6" w:rsidRPr="00B1433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D6B2B" w14:textId="77777777" w:rsidR="00ED71A0" w:rsidRDefault="00ED71A0">
      <w:r>
        <w:separator/>
      </w:r>
    </w:p>
  </w:endnote>
  <w:endnote w:type="continuationSeparator" w:id="0">
    <w:p w14:paraId="19180808" w14:textId="77777777" w:rsidR="00ED71A0" w:rsidRDefault="00ED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C4A80" w14:textId="77777777" w:rsidR="00ED71A0" w:rsidRDefault="00ED71A0">
      <w:r>
        <w:separator/>
      </w:r>
    </w:p>
  </w:footnote>
  <w:footnote w:type="continuationSeparator" w:id="0">
    <w:p w14:paraId="3B5A24E4" w14:textId="77777777" w:rsidR="00ED71A0" w:rsidRDefault="00ED71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2272" w:hanging="420"/>
      </w:pPr>
      <w:rPr>
        <w:rFonts w:ascii="Microsoft Sans Serif" w:hAnsi="Microsoft Sans Serif" w:hint="default"/>
      </w:rPr>
    </w:lvl>
    <w:lvl w:ilvl="1" w:tplc="04090003" w:tentative="1">
      <w:start w:val="1"/>
      <w:numFmt w:val="bullet"/>
      <w:lvlText w:val=""/>
      <w:lvlJc w:val="left"/>
      <w:pPr>
        <w:ind w:left="-185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012" w:hanging="420"/>
      </w:pPr>
      <w:rPr>
        <w:rFonts w:ascii="Wingdings" w:hAnsi="Wingdings" w:hint="default"/>
      </w:rPr>
    </w:lvl>
    <w:lvl w:ilvl="4" w:tplc="04090003" w:tentative="1">
      <w:start w:val="1"/>
      <w:numFmt w:val="bullet"/>
      <w:lvlText w:val=""/>
      <w:lvlJc w:val="left"/>
      <w:pPr>
        <w:ind w:left="-592" w:hanging="420"/>
      </w:pPr>
      <w:rPr>
        <w:rFonts w:ascii="Wingdings" w:hAnsi="Wingdings" w:hint="default"/>
      </w:rPr>
    </w:lvl>
    <w:lvl w:ilvl="5" w:tplc="04090005" w:tentative="1">
      <w:start w:val="1"/>
      <w:numFmt w:val="bullet"/>
      <w:lvlText w:val=""/>
      <w:lvlJc w:val="left"/>
      <w:pPr>
        <w:ind w:left="-172" w:hanging="420"/>
      </w:pPr>
      <w:rPr>
        <w:rFonts w:ascii="Wingdings" w:hAnsi="Wingdings" w:hint="default"/>
      </w:rPr>
    </w:lvl>
    <w:lvl w:ilvl="6" w:tplc="04090001" w:tentative="1">
      <w:start w:val="1"/>
      <w:numFmt w:val="bullet"/>
      <w:lvlText w:val=""/>
      <w:lvlJc w:val="left"/>
      <w:pPr>
        <w:ind w:left="248" w:hanging="420"/>
      </w:pPr>
      <w:rPr>
        <w:rFonts w:ascii="Wingdings" w:hAnsi="Wingdings" w:hint="default"/>
      </w:rPr>
    </w:lvl>
    <w:lvl w:ilvl="7" w:tplc="04090003" w:tentative="1">
      <w:start w:val="1"/>
      <w:numFmt w:val="bullet"/>
      <w:lvlText w:val=""/>
      <w:lvlJc w:val="left"/>
      <w:pPr>
        <w:ind w:left="668" w:hanging="420"/>
      </w:pPr>
      <w:rPr>
        <w:rFonts w:ascii="Wingdings" w:hAnsi="Wingdings" w:hint="default"/>
      </w:rPr>
    </w:lvl>
    <w:lvl w:ilvl="8" w:tplc="04090005" w:tentative="1">
      <w:start w:val="1"/>
      <w:numFmt w:val="bullet"/>
      <w:lvlText w:val=""/>
      <w:lvlJc w:val="left"/>
      <w:pPr>
        <w:ind w:left="108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A1519"/>
    <w:multiLevelType w:val="hybridMultilevel"/>
    <w:tmpl w:val="0712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B4A9E"/>
    <w:multiLevelType w:val="hybridMultilevel"/>
    <w:tmpl w:val="005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CA84A496"/>
    <w:lvl w:ilvl="0">
      <w:start w:val="1"/>
      <w:numFmt w:val="decimal"/>
      <w:pStyle w:val="1"/>
      <w:suff w:val="nothing"/>
      <w:lvlText w:val="%1  "/>
      <w:lvlJc w:val="left"/>
      <w:pPr>
        <w:ind w:left="141"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3402" w:firstLine="284"/>
      </w:pPr>
      <w:rPr>
        <w:rFonts w:ascii="Calibri" w:hAnsi="Calibri" w:hint="default"/>
        <w:b w:val="0"/>
        <w:i w:val="0"/>
        <w:sz w:val="30"/>
        <w:szCs w:val="30"/>
        <w:lang w:val="en-US"/>
      </w:rPr>
    </w:lvl>
    <w:lvl w:ilvl="2">
      <w:start w:val="1"/>
      <w:numFmt w:val="decimal"/>
      <w:pStyle w:val="3"/>
      <w:suff w:val="nothing"/>
      <w:lvlText w:val="%1.%2.%3  "/>
      <w:lvlJc w:val="left"/>
      <w:pPr>
        <w:ind w:left="2551" w:firstLine="0"/>
      </w:pPr>
      <w:rPr>
        <w:rFonts w:ascii="Calibri" w:hAnsi="Calibri" w:hint="default"/>
        <w:b w:val="0"/>
        <w:i w:val="0"/>
        <w:sz w:val="28"/>
        <w:szCs w:val="21"/>
      </w:rPr>
    </w:lvl>
    <w:lvl w:ilvl="3">
      <w:start w:val="1"/>
      <w:numFmt w:val="decimal"/>
      <w:pStyle w:val="4"/>
      <w:suff w:val="nothing"/>
      <w:lvlText w:val="%1.%2.%3.%4  "/>
      <w:lvlJc w:val="left"/>
      <w:pPr>
        <w:ind w:left="-3402"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2268"/>
        </w:tabs>
        <w:ind w:left="-2268" w:hanging="312"/>
      </w:pPr>
      <w:rPr>
        <w:rFonts w:ascii="Calibri" w:hAnsi="Calibri" w:hint="default"/>
        <w:b w:val="0"/>
        <w:i w:val="0"/>
        <w:sz w:val="21"/>
        <w:szCs w:val="21"/>
      </w:rPr>
    </w:lvl>
    <w:lvl w:ilvl="5">
      <w:start w:val="1"/>
      <w:numFmt w:val="decimal"/>
      <w:lvlText w:val="%6)"/>
      <w:lvlJc w:val="left"/>
      <w:pPr>
        <w:tabs>
          <w:tab w:val="num" w:pos="-2268"/>
        </w:tabs>
        <w:ind w:left="-2268" w:hanging="312"/>
      </w:pPr>
      <w:rPr>
        <w:rFonts w:ascii="Calibri" w:hAnsi="Calibri" w:hint="default"/>
        <w:b w:val="0"/>
        <w:i w:val="0"/>
        <w:sz w:val="21"/>
        <w:szCs w:val="21"/>
      </w:rPr>
    </w:lvl>
    <w:lvl w:ilvl="6">
      <w:start w:val="1"/>
      <w:numFmt w:val="lowerLetter"/>
      <w:lvlText w:val="%7."/>
      <w:lvlJc w:val="left"/>
      <w:pPr>
        <w:tabs>
          <w:tab w:val="num" w:pos="-2268"/>
        </w:tabs>
        <w:ind w:left="-2268" w:hanging="312"/>
      </w:pPr>
      <w:rPr>
        <w:rFonts w:ascii="Calibri" w:hAnsi="Calibri" w:hint="default"/>
        <w:b w:val="0"/>
        <w:i w:val="0"/>
        <w:sz w:val="21"/>
        <w:szCs w:val="21"/>
      </w:rPr>
    </w:lvl>
    <w:lvl w:ilvl="7">
      <w:start w:val="1"/>
      <w:numFmt w:val="decimal"/>
      <w:lvlRestart w:val="0"/>
      <w:pStyle w:val="a"/>
      <w:suff w:val="space"/>
      <w:lvlText w:val="Figure %8"/>
      <w:lvlJc w:val="center"/>
      <w:pPr>
        <w:ind w:left="-3402"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3402" w:firstLine="0"/>
      </w:pPr>
      <w:rPr>
        <w:rFonts w:ascii="Calibri" w:eastAsia="宋体" w:hAnsi="Calibri" w:hint="default"/>
        <w:b w:val="0"/>
        <w:i w:val="0"/>
        <w:sz w:val="18"/>
        <w:szCs w:val="18"/>
      </w:rPr>
    </w:lvl>
  </w:abstractNum>
  <w:abstractNum w:abstractNumId="6"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85088A"/>
    <w:multiLevelType w:val="hybridMultilevel"/>
    <w:tmpl w:val="A2F2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48194A"/>
    <w:multiLevelType w:val="hybridMultilevel"/>
    <w:tmpl w:val="C9042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1" w15:restartNumberingAfterBreak="0">
    <w:nsid w:val="26FE206D"/>
    <w:multiLevelType w:val="hybridMultilevel"/>
    <w:tmpl w:val="3684E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897333"/>
    <w:multiLevelType w:val="hybridMultilevel"/>
    <w:tmpl w:val="7C901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C1130"/>
    <w:multiLevelType w:val="hybridMultilevel"/>
    <w:tmpl w:val="141A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A3226"/>
    <w:multiLevelType w:val="hybridMultilevel"/>
    <w:tmpl w:val="25BCEEE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070506"/>
    <w:multiLevelType w:val="hybridMultilevel"/>
    <w:tmpl w:val="B20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D4C0D"/>
    <w:multiLevelType w:val="hybridMultilevel"/>
    <w:tmpl w:val="884410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9" w15:restartNumberingAfterBreak="0">
    <w:nsid w:val="61D327B0"/>
    <w:multiLevelType w:val="hybridMultilevel"/>
    <w:tmpl w:val="723E38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AB32D7F"/>
    <w:multiLevelType w:val="hybridMultilevel"/>
    <w:tmpl w:val="361C5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8"/>
  </w:num>
  <w:num w:numId="2">
    <w:abstractNumId w:val="5"/>
  </w:num>
  <w:num w:numId="3">
    <w:abstractNumId w:val="34"/>
  </w:num>
  <w:num w:numId="4">
    <w:abstractNumId w:val="36"/>
  </w:num>
  <w:num w:numId="5">
    <w:abstractNumId w:val="28"/>
  </w:num>
  <w:num w:numId="6">
    <w:abstractNumId w:val="4"/>
  </w:num>
  <w:num w:numId="7">
    <w:abstractNumId w:val="10"/>
  </w:num>
  <w:num w:numId="8">
    <w:abstractNumId w:val="20"/>
  </w:num>
  <w:num w:numId="9">
    <w:abstractNumId w:val="21"/>
  </w:num>
  <w:num w:numId="10">
    <w:abstractNumId w:val="31"/>
  </w:num>
  <w:num w:numId="11">
    <w:abstractNumId w:val="35"/>
  </w:num>
  <w:num w:numId="12">
    <w:abstractNumId w:val="33"/>
  </w:num>
  <w:num w:numId="13">
    <w:abstractNumId w:val="15"/>
  </w:num>
  <w:num w:numId="14">
    <w:abstractNumId w:val="12"/>
  </w:num>
  <w:num w:numId="15">
    <w:abstractNumId w:val="30"/>
  </w:num>
  <w:num w:numId="16">
    <w:abstractNumId w:val="16"/>
  </w:num>
  <w:num w:numId="17">
    <w:abstractNumId w:val="6"/>
  </w:num>
  <w:num w:numId="18">
    <w:abstractNumId w:val="0"/>
  </w:num>
  <w:num w:numId="19">
    <w:abstractNumId w:val="14"/>
  </w:num>
  <w:num w:numId="20">
    <w:abstractNumId w:val="25"/>
  </w:num>
  <w:num w:numId="21">
    <w:abstractNumId w:val="1"/>
  </w:num>
  <w:num w:numId="22">
    <w:abstractNumId w:val="19"/>
  </w:num>
  <w:num w:numId="23">
    <w:abstractNumId w:val="13"/>
  </w:num>
  <w:num w:numId="24">
    <w:abstractNumId w:val="5"/>
  </w:num>
  <w:num w:numId="25">
    <w:abstractNumId w:val="5"/>
  </w:num>
  <w:num w:numId="26">
    <w:abstractNumId w:val="18"/>
  </w:num>
  <w:num w:numId="27">
    <w:abstractNumId w:val="29"/>
  </w:num>
  <w:num w:numId="28">
    <w:abstractNumId w:val="27"/>
  </w:num>
  <w:num w:numId="29">
    <w:abstractNumId w:val="7"/>
  </w:num>
  <w:num w:numId="30">
    <w:abstractNumId w:val="9"/>
  </w:num>
  <w:num w:numId="31">
    <w:abstractNumId w:val="22"/>
  </w:num>
  <w:num w:numId="32">
    <w:abstractNumId w:val="5"/>
  </w:num>
  <w:num w:numId="33">
    <w:abstractNumId w:val="5"/>
  </w:num>
  <w:num w:numId="34">
    <w:abstractNumId w:val="26"/>
  </w:num>
  <w:num w:numId="35">
    <w:abstractNumId w:val="5"/>
  </w:num>
  <w:num w:numId="36">
    <w:abstractNumId w:val="3"/>
  </w:num>
  <w:num w:numId="37">
    <w:abstractNumId w:val="24"/>
  </w:num>
  <w:num w:numId="38">
    <w:abstractNumId w:val="32"/>
  </w:num>
  <w:num w:numId="39">
    <w:abstractNumId w:val="17"/>
  </w:num>
  <w:num w:numId="40">
    <w:abstractNumId w:val="23"/>
  </w:num>
  <w:num w:numId="41">
    <w:abstractNumId w:val="2"/>
  </w:num>
  <w:num w:numId="42">
    <w:abstractNumId w:val="11"/>
  </w:num>
  <w:num w:numId="4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78C"/>
    <w:rsid w:val="00020BFF"/>
    <w:rsid w:val="00022374"/>
    <w:rsid w:val="000224E8"/>
    <w:rsid w:val="00022C81"/>
    <w:rsid w:val="00022E4A"/>
    <w:rsid w:val="00023E5C"/>
    <w:rsid w:val="00025434"/>
    <w:rsid w:val="0002747B"/>
    <w:rsid w:val="00031567"/>
    <w:rsid w:val="000315B8"/>
    <w:rsid w:val="000322F4"/>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1DB3"/>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14F"/>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5D34"/>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7796B"/>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BE"/>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D77D9"/>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96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2BA6"/>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7584"/>
    <w:rsid w:val="00997F4A"/>
    <w:rsid w:val="009A0636"/>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0FE9"/>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4335"/>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3E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4D"/>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BB3"/>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0C6D"/>
    <w:rsid w:val="00DA32E6"/>
    <w:rsid w:val="00DA32F7"/>
    <w:rsid w:val="00DA5655"/>
    <w:rsid w:val="00DA66FC"/>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150"/>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2B77"/>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795"/>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6CF1"/>
    <w:rsid w:val="00EC7C1B"/>
    <w:rsid w:val="00ED00C2"/>
    <w:rsid w:val="00ED0F37"/>
    <w:rsid w:val="00ED10E9"/>
    <w:rsid w:val="00ED17A9"/>
    <w:rsid w:val="00ED58D4"/>
    <w:rsid w:val="00ED5D30"/>
    <w:rsid w:val="00ED5D53"/>
    <w:rsid w:val="00ED6305"/>
    <w:rsid w:val="00ED71A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298"/>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5A1"/>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070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D77D9"/>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495C5-27B4-4426-B799-9394BF96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2022-02-14T13:43:00Z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(3)7NvJv/NcRd0zG14fUnoZuFYyZ2SsHbO56s07Xj5LJYBl3ZaCxsPIfh6VsG96LS/tyFBpMqDO
aLhF+JnHqmLXXYLobLE/xDt0Xo2K+KGLprxnSAD7YbR86GQPw0R3hbVbJZjipsZTyYtD83z1
mKTHNCjdfC/PexpXtj0CSJKxntkf9V4pmgx7o9A047mNhYdVlhNfWkFR2kc9QLEbOvkCZsh8
gRoUuX0+sTjZwvQmXT</vt:lpwstr>
  </property>
  <property fmtid="{D5CDD505-2E9C-101B-9397-08002B2CF9AE}" pid="17" name="_2015_ms_pID_725343_00">
    <vt:lpwstr>_2015_ms_pID_725343</vt:lpwstr>
  </property>
  <property fmtid="{D5CDD505-2E9C-101B-9397-08002B2CF9AE}" pid="18" name="_2015_ms_pID_7253431">
    <vt:lpwstr>EFaB9zYAVSljdTvj2Jtvb3qYLyYribXZNZVDQk/7486nvOT/nY7dtq
eyujjXT4Vgu3zFVarIJECQT2I+hsQWf9HEJUS+LF7z36ZlDmK7lEihNrBTbA2iW0p44QsCDn
Hp7rlknnMhILAPxexTQ/IeHcQsc6I2relcE4lWMZkJZL5F0Kxq/9TdW8WgOgfjiEPllduuzE
t3mplK6tTXVgW0B6BTwfu/MnfJ+FnKt5FX79</vt:lpwstr>
  </property>
  <property fmtid="{D5CDD505-2E9C-101B-9397-08002B2CF9AE}" pid="19" name="_2015_ms_pID_7253431_00">
    <vt:lpwstr>_2015_ms_pID_7253431</vt:lpwstr>
  </property>
  <property fmtid="{D5CDD505-2E9C-101B-9397-08002B2CF9AE}" pid="20" name="_2015_ms_pID_7253432">
    <vt:lpwstr>d90UeeqtEkgU6uDIDzLNsXHdYLCGMvsg2lte
PdrfcYEj4WRFYuWfTL02bZy6Bii+mVs2xR1EmXdBqGEQHAU1mDE=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